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FA006" w14:textId="77777777" w:rsidR="00821D83" w:rsidRPr="007968D1" w:rsidRDefault="00821D83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58173075" w14:textId="77777777" w:rsidR="007968D1" w:rsidRPr="007968D1" w:rsidRDefault="007968D1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14D217EA" w14:textId="77777777" w:rsidR="007968D1" w:rsidRPr="007968D1" w:rsidRDefault="007968D1" w:rsidP="00821D83">
      <w:pPr>
        <w:spacing w:after="0" w:line="276" w:lineRule="auto"/>
        <w:ind w:left="924"/>
        <w:jc w:val="both"/>
        <w:rPr>
          <w:rFonts w:ascii="Arial" w:eastAsia="SimSun" w:hAnsi="Arial" w:cs="Arial"/>
          <w:b/>
          <w:bCs/>
          <w:kern w:val="0"/>
          <w:u w:val="single"/>
          <w14:ligatures w14:val="none"/>
        </w:rPr>
      </w:pPr>
    </w:p>
    <w:p w14:paraId="0A114550" w14:textId="22F2E4DD" w:rsidR="007968D1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>Oświadczeni</w:t>
      </w:r>
      <w:r w:rsidR="007968D1">
        <w:rPr>
          <w:b/>
          <w:bCs/>
          <w:u w:val="single"/>
        </w:rPr>
        <w:t>e</w:t>
      </w:r>
      <w:r w:rsidRPr="00821D83">
        <w:rPr>
          <w:b/>
          <w:bCs/>
          <w:u w:val="single"/>
        </w:rPr>
        <w:t xml:space="preserve"> </w:t>
      </w:r>
      <w:r w:rsidR="00EC7FD5">
        <w:rPr>
          <w:b/>
          <w:bCs/>
          <w:u w:val="single"/>
        </w:rPr>
        <w:t>P</w:t>
      </w:r>
      <w:r w:rsidRPr="00821D83">
        <w:rPr>
          <w:b/>
          <w:bCs/>
          <w:u w:val="single"/>
        </w:rPr>
        <w:t>roducenta</w:t>
      </w:r>
      <w:r w:rsidR="00EC7FD5">
        <w:rPr>
          <w:b/>
          <w:bCs/>
          <w:u w:val="single"/>
        </w:rPr>
        <w:t xml:space="preserve"> / Dystrybutora</w:t>
      </w:r>
      <w:r w:rsidRPr="00821D83">
        <w:rPr>
          <w:b/>
          <w:bCs/>
          <w:u w:val="single"/>
        </w:rPr>
        <w:t xml:space="preserve"> urządzeń</w:t>
      </w:r>
    </w:p>
    <w:p w14:paraId="48712680" w14:textId="77777777" w:rsidR="007968D1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>w zakresie jakościowych kryteriów oceny ofert</w:t>
      </w:r>
    </w:p>
    <w:p w14:paraId="42F4E0D2" w14:textId="791C4A1A" w:rsidR="00821D83" w:rsidRDefault="00821D83" w:rsidP="008F1964">
      <w:pPr>
        <w:spacing w:after="0" w:line="276" w:lineRule="auto"/>
        <w:rPr>
          <w:b/>
          <w:bCs/>
          <w:u w:val="single"/>
        </w:rPr>
      </w:pPr>
      <w:r w:rsidRPr="00821D83">
        <w:rPr>
          <w:b/>
          <w:bCs/>
          <w:u w:val="single"/>
        </w:rPr>
        <w:t xml:space="preserve">opisanych w rozdziale 18 ust. 2 lit. b) – </w:t>
      </w:r>
      <w:r w:rsidR="008F1964">
        <w:rPr>
          <w:b/>
          <w:bCs/>
          <w:u w:val="single"/>
        </w:rPr>
        <w:t>g</w:t>
      </w:r>
      <w:r w:rsidRPr="00821D83">
        <w:rPr>
          <w:b/>
          <w:bCs/>
          <w:u w:val="single"/>
        </w:rPr>
        <w:t>) SWZ</w:t>
      </w:r>
    </w:p>
    <w:p w14:paraId="0B8E0369" w14:textId="471D3DDB" w:rsidR="007968D1" w:rsidRDefault="007968D1" w:rsidP="008F1964">
      <w:pPr>
        <w:spacing w:after="0" w:line="276" w:lineRule="auto"/>
        <w:rPr>
          <w:b/>
          <w:bCs/>
          <w:u w:val="single"/>
        </w:rPr>
      </w:pPr>
      <w:r>
        <w:rPr>
          <w:b/>
          <w:bCs/>
          <w:u w:val="single"/>
        </w:rPr>
        <w:t>z dnia 15.11.2025</w:t>
      </w:r>
    </w:p>
    <w:p w14:paraId="014BF428" w14:textId="77777777" w:rsidR="00821D83" w:rsidRDefault="00821D83" w:rsidP="00821D83">
      <w:pPr>
        <w:spacing w:after="0" w:line="276" w:lineRule="auto"/>
        <w:jc w:val="both"/>
        <w:rPr>
          <w:b/>
          <w:bCs/>
          <w:u w:val="single"/>
        </w:rPr>
      </w:pPr>
    </w:p>
    <w:p w14:paraId="77B40364" w14:textId="76320133" w:rsidR="00C159D9" w:rsidRPr="00C159D9" w:rsidRDefault="007968D1" w:rsidP="00C159D9">
      <w:pPr>
        <w:autoSpaceDE w:val="0"/>
        <w:autoSpaceDN w:val="0"/>
        <w:adjustRightInd w:val="0"/>
        <w:spacing w:after="0" w:line="276" w:lineRule="auto"/>
        <w:ind w:left="1074"/>
        <w:rPr>
          <w:rFonts w:ascii="Arial" w:eastAsia="Calibri" w:hAnsi="Arial" w:cs="Arial"/>
          <w:kern w:val="0"/>
          <w14:ligatures w14:val="none"/>
        </w:rPr>
      </w:pPr>
      <w:r w:rsidRPr="007968D1">
        <w:rPr>
          <w:rFonts w:ascii="Arial" w:eastAsia="Calibri" w:hAnsi="Arial" w:cs="Arial"/>
          <w:kern w:val="0"/>
          <w14:ligatures w14:val="none"/>
        </w:rPr>
        <w:t xml:space="preserve">Firma </w:t>
      </w:r>
      <w:r w:rsidR="008F1964">
        <w:rPr>
          <w:rFonts w:ascii="Arial" w:eastAsia="Calibri" w:hAnsi="Arial" w:cs="Arial"/>
          <w:kern w:val="0"/>
          <w14:ligatures w14:val="none"/>
        </w:rPr>
        <w:t>……………………………………..</w:t>
      </w:r>
      <w:r w:rsidRPr="007968D1">
        <w:rPr>
          <w:rFonts w:ascii="Arial" w:eastAsia="Calibri" w:hAnsi="Arial" w:cs="Arial"/>
          <w:kern w:val="0"/>
          <w14:ligatures w14:val="none"/>
        </w:rPr>
        <w:t>. zwana dalej Producentem</w:t>
      </w:r>
      <w:r w:rsidR="00EC7FD5">
        <w:rPr>
          <w:rFonts w:ascii="Arial" w:eastAsia="Calibri" w:hAnsi="Arial" w:cs="Arial"/>
          <w:kern w:val="0"/>
          <w14:ligatures w14:val="none"/>
        </w:rPr>
        <w:t xml:space="preserve"> / Dystrybutorem</w:t>
      </w:r>
      <w:r w:rsidRPr="007968D1">
        <w:rPr>
          <w:rFonts w:ascii="Arial" w:eastAsia="Calibri" w:hAnsi="Arial" w:cs="Arial"/>
          <w:kern w:val="0"/>
          <w14:ligatures w14:val="none"/>
        </w:rPr>
        <w:t xml:space="preserve"> </w:t>
      </w:r>
      <w:r w:rsidR="00C159D9">
        <w:rPr>
          <w:rFonts w:ascii="Arial" w:eastAsia="Calibri" w:hAnsi="Arial" w:cs="Arial"/>
          <w:kern w:val="0"/>
          <w14:ligatures w14:val="none"/>
        </w:rPr>
        <w:t>w ramach umowy dostawy urządzeń dla</w:t>
      </w:r>
      <w:r w:rsidR="00C159D9" w:rsidRPr="00C159D9">
        <w:rPr>
          <w:rFonts w:ascii="Arial" w:eastAsia="Calibri" w:hAnsi="Arial" w:cs="Arial"/>
          <w:kern w:val="0"/>
          <w14:ligatures w14:val="none"/>
        </w:rPr>
        <w:t xml:space="preserve"> zamówienia publicznego</w:t>
      </w:r>
    </w:p>
    <w:p w14:paraId="263E4D50" w14:textId="336DB89D" w:rsidR="00C159D9" w:rsidRDefault="00C159D9" w:rsidP="00C159D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kern w:val="0"/>
          <w14:ligatures w14:val="none"/>
        </w:rPr>
      </w:pPr>
      <w:r w:rsidRPr="00C159D9">
        <w:rPr>
          <w:rFonts w:ascii="Arial" w:eastAsia="Calibri" w:hAnsi="Arial" w:cs="Arial"/>
          <w:b/>
          <w:bCs/>
          <w:kern w:val="0"/>
          <w14:ligatures w14:val="none"/>
        </w:rPr>
        <w:t>„</w:t>
      </w:r>
      <w:r w:rsidR="008F1964" w:rsidRPr="008F1964">
        <w:rPr>
          <w:rFonts w:ascii="Arial" w:eastAsia="Calibri" w:hAnsi="Arial" w:cs="Arial"/>
          <w:b/>
          <w:bCs/>
          <w:kern w:val="0"/>
          <w14:ligatures w14:val="none"/>
        </w:rPr>
        <w:t>pn. „Budowa infrastruktury OZE dla rozwoju funkcjonowania Klastra Energii Brama Podhala – projekt demonstracyjny”</w:t>
      </w:r>
      <w:r w:rsidRPr="00C159D9">
        <w:rPr>
          <w:rFonts w:ascii="Arial" w:eastAsia="Calibri" w:hAnsi="Arial" w:cs="Arial"/>
          <w:kern w:val="0"/>
          <w14:ligatures w14:val="none"/>
        </w:rPr>
        <w:t>”</w:t>
      </w:r>
      <w:r>
        <w:rPr>
          <w:rFonts w:ascii="Arial" w:eastAsia="Calibri" w:hAnsi="Arial" w:cs="Arial"/>
          <w:kern w:val="0"/>
          <w14:ligatures w14:val="none"/>
        </w:rPr>
        <w:t xml:space="preserve"> </w:t>
      </w:r>
      <w:r w:rsidR="00821D83" w:rsidRPr="00821D83">
        <w:rPr>
          <w:rFonts w:ascii="Arial" w:eastAsia="Calibri" w:hAnsi="Arial" w:cs="Arial"/>
          <w:kern w:val="0"/>
          <w14:ligatures w14:val="none"/>
        </w:rPr>
        <w:t xml:space="preserve"> </w:t>
      </w:r>
      <w:r>
        <w:rPr>
          <w:rFonts w:ascii="Arial" w:eastAsia="Calibri" w:hAnsi="Arial" w:cs="Arial"/>
          <w:kern w:val="0"/>
          <w14:ligatures w14:val="none"/>
        </w:rPr>
        <w:t>deklaruje że:</w:t>
      </w:r>
    </w:p>
    <w:p w14:paraId="7DC2AAAE" w14:textId="1350247F" w:rsidR="00C159D9" w:rsidRDefault="00C159D9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Udzieli na dostarczone urządzenia 60 miesięcznej gwarancji liczonej od dnia odbioru końcowego inwestycji. </w:t>
      </w:r>
    </w:p>
    <w:p w14:paraId="0957A762" w14:textId="215C3D41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 dotyczy wszystkich głównych urządzeń dostarczonych w ramach umowy to znaczy:</w:t>
      </w:r>
    </w:p>
    <w:p w14:paraId="7E638D04" w14:textId="77777777" w:rsidR="00B95F79" w:rsidRDefault="00B95F79" w:rsidP="00292F2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Magazyny energii</w:t>
      </w:r>
    </w:p>
    <w:p w14:paraId="46ED7ABA" w14:textId="3A09E27E" w:rsidR="00292F2C" w:rsidRDefault="00B95F79" w:rsidP="00292F2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Inwertery</w:t>
      </w:r>
      <w:r w:rsidR="00292F2C">
        <w:rPr>
          <w:rFonts w:ascii="Arial" w:eastAsia="Calibri" w:hAnsi="Arial" w:cs="Arial"/>
          <w:kern w:val="0"/>
          <w14:ligatures w14:val="none"/>
        </w:rPr>
        <w:t>.</w:t>
      </w:r>
      <w:r w:rsidR="00292F2C" w:rsidRPr="00C159D9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2E52DC82" w14:textId="546F1C95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Wykona raz w całym okresie gwarancji,</w:t>
      </w:r>
      <w:r w:rsidR="00EC7FD5">
        <w:rPr>
          <w:rFonts w:ascii="Arial" w:eastAsia="Calibri" w:hAnsi="Arial" w:cs="Arial"/>
          <w:kern w:val="0"/>
          <w14:ligatures w14:val="none"/>
        </w:rPr>
        <w:t xml:space="preserve"> jeden</w:t>
      </w:r>
      <w:r>
        <w:rPr>
          <w:rFonts w:ascii="Arial" w:eastAsia="Calibri" w:hAnsi="Arial" w:cs="Arial"/>
          <w:kern w:val="0"/>
          <w14:ligatures w14:val="none"/>
        </w:rPr>
        <w:t xml:space="preserve"> przegl</w:t>
      </w:r>
      <w:r w:rsidR="00B95F79">
        <w:rPr>
          <w:rFonts w:ascii="Arial" w:eastAsia="Calibri" w:hAnsi="Arial" w:cs="Arial"/>
          <w:kern w:val="0"/>
          <w14:ligatures w14:val="none"/>
        </w:rPr>
        <w:t>ąd</w:t>
      </w:r>
      <w:r>
        <w:rPr>
          <w:rFonts w:ascii="Arial" w:eastAsia="Calibri" w:hAnsi="Arial" w:cs="Arial"/>
          <w:kern w:val="0"/>
          <w14:ligatures w14:val="none"/>
        </w:rPr>
        <w:t xml:space="preserve"> instalacji w których pracują dostarczone urządzenia</w:t>
      </w:r>
      <w:r w:rsidR="00B95F79">
        <w:rPr>
          <w:rFonts w:ascii="Arial" w:eastAsia="Calibri" w:hAnsi="Arial" w:cs="Arial"/>
          <w:kern w:val="0"/>
          <w14:ligatures w14:val="none"/>
        </w:rPr>
        <w:t>.</w:t>
      </w:r>
    </w:p>
    <w:p w14:paraId="4B08F6F9" w14:textId="06F6892D" w:rsidR="00821D83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Wniesie na rzecz Zamawiającego zabezpieczenie finansowe (w dopuszczalnej przez Zamawiającego formie) w wysokości 3% wartości dostarczonych urządzeń</w:t>
      </w:r>
      <w:r w:rsidR="00EC7FD5">
        <w:rPr>
          <w:rFonts w:ascii="Arial" w:eastAsia="Calibri" w:hAnsi="Arial" w:cs="Arial"/>
          <w:kern w:val="0"/>
          <w14:ligatures w14:val="none"/>
        </w:rPr>
        <w:t xml:space="preserve"> (magazyny energii, inwertery)</w:t>
      </w:r>
      <w:r>
        <w:rPr>
          <w:rFonts w:ascii="Arial" w:eastAsia="Calibri" w:hAnsi="Arial" w:cs="Arial"/>
          <w:kern w:val="0"/>
          <w14:ligatures w14:val="none"/>
        </w:rPr>
        <w:t xml:space="preserve">. Deklarowane zabezpieczenie dotyczy gwarancji na urządzenia oraz obejmującej </w:t>
      </w:r>
      <w:r w:rsidR="00B95F79">
        <w:rPr>
          <w:rFonts w:ascii="Arial" w:eastAsia="Calibri" w:hAnsi="Arial" w:cs="Arial"/>
          <w:kern w:val="0"/>
          <w14:ligatures w14:val="none"/>
        </w:rPr>
        <w:t xml:space="preserve">jeden </w:t>
      </w:r>
      <w:r>
        <w:rPr>
          <w:rFonts w:ascii="Arial" w:eastAsia="Calibri" w:hAnsi="Arial" w:cs="Arial"/>
          <w:kern w:val="0"/>
          <w14:ligatures w14:val="none"/>
        </w:rPr>
        <w:t xml:space="preserve">przegląd w </w:t>
      </w:r>
      <w:r w:rsidR="00B95F79">
        <w:rPr>
          <w:rFonts w:ascii="Arial" w:eastAsia="Calibri" w:hAnsi="Arial" w:cs="Arial"/>
          <w:kern w:val="0"/>
          <w14:ligatures w14:val="none"/>
        </w:rPr>
        <w:t xml:space="preserve">okresie </w:t>
      </w:r>
      <w:r>
        <w:rPr>
          <w:rFonts w:ascii="Arial" w:eastAsia="Calibri" w:hAnsi="Arial" w:cs="Arial"/>
          <w:kern w:val="0"/>
          <w14:ligatures w14:val="none"/>
        </w:rPr>
        <w:t xml:space="preserve">gwarancji </w:t>
      </w:r>
    </w:p>
    <w:p w14:paraId="691D2D9A" w14:textId="3AF93B8B" w:rsidR="00292F2C" w:rsidRDefault="00292F2C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 xml:space="preserve">Zabezpieczenie finansowe w formie dopuszczonej przez Zamawiającego zostanie wniesione po ogłoszeniu </w:t>
      </w:r>
      <w:r w:rsidR="00A335BD">
        <w:rPr>
          <w:rFonts w:ascii="Arial" w:eastAsia="Calibri" w:hAnsi="Arial" w:cs="Arial"/>
          <w:kern w:val="0"/>
          <w14:ligatures w14:val="none"/>
        </w:rPr>
        <w:t xml:space="preserve">przez Zamawiającego, </w:t>
      </w:r>
      <w:r>
        <w:rPr>
          <w:rFonts w:ascii="Arial" w:eastAsia="Calibri" w:hAnsi="Arial" w:cs="Arial"/>
          <w:kern w:val="0"/>
          <w14:ligatures w14:val="none"/>
        </w:rPr>
        <w:t xml:space="preserve">wyboru Generalnego Wykonawcy </w:t>
      </w:r>
      <w:r w:rsidR="00A335BD">
        <w:rPr>
          <w:rFonts w:ascii="Arial" w:eastAsia="Calibri" w:hAnsi="Arial" w:cs="Arial"/>
          <w:kern w:val="0"/>
          <w14:ligatures w14:val="none"/>
        </w:rPr>
        <w:t xml:space="preserve">ale </w:t>
      </w:r>
      <w:r>
        <w:rPr>
          <w:rFonts w:ascii="Arial" w:eastAsia="Calibri" w:hAnsi="Arial" w:cs="Arial"/>
          <w:kern w:val="0"/>
          <w14:ligatures w14:val="none"/>
        </w:rPr>
        <w:t xml:space="preserve">przed podpisaniem umowy przez Generalnego Wykonawcę </w:t>
      </w:r>
    </w:p>
    <w:p w14:paraId="2DF6E01D" w14:textId="44D63181" w:rsidR="008F1964" w:rsidRDefault="008F1964" w:rsidP="00C159D9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Zabezpieczenie zostanie wniesione przez Producenta zostanie wniesione w jednej z form dopuszczonych przez Zamawiającego:</w:t>
      </w:r>
    </w:p>
    <w:p w14:paraId="77BB9471" w14:textId="0F53AFAA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Pieniądzu</w:t>
      </w:r>
    </w:p>
    <w:p w14:paraId="74942BE8" w14:textId="03C4483D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Poręczeniach bankowych lub poręczeniach spółdzielczej kasy oszczędnościowo-kredytowej, z tym zobowiązanie kasy jest zawsze zobowiązaniem pieniężnym</w:t>
      </w:r>
    </w:p>
    <w:p w14:paraId="45FDE4FE" w14:textId="5C8FDF70" w:rsidR="008F1964" w:rsidRDefault="008F1964" w:rsidP="008F196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Gwarancjach bankowych</w:t>
      </w:r>
    </w:p>
    <w:p w14:paraId="5674CAFE" w14:textId="77777777" w:rsidR="002B7D9E" w:rsidRDefault="008F1964" w:rsidP="002B7D9E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>
        <w:rPr>
          <w:rFonts w:ascii="Arial" w:eastAsia="Calibri" w:hAnsi="Arial" w:cs="Arial"/>
          <w:kern w:val="0"/>
          <w14:ligatures w14:val="none"/>
        </w:rPr>
        <w:t>Gwarancja ubezpieczeniowych</w:t>
      </w:r>
    </w:p>
    <w:p w14:paraId="5C8FF677" w14:textId="77777777" w:rsid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3555"/>
        <w:jc w:val="both"/>
        <w:rPr>
          <w:rFonts w:ascii="Arial" w:eastAsia="Calibri" w:hAnsi="Arial" w:cs="Arial"/>
          <w:kern w:val="0"/>
          <w14:ligatures w14:val="none"/>
        </w:rPr>
      </w:pPr>
    </w:p>
    <w:p w14:paraId="5107A0E2" w14:textId="5152478E" w:rsidR="002B7D9E" w:rsidRDefault="002B7D9E" w:rsidP="002B7D9E">
      <w:pPr>
        <w:pStyle w:val="Akapitzlist"/>
        <w:autoSpaceDE w:val="0"/>
        <w:autoSpaceDN w:val="0"/>
        <w:adjustRightInd w:val="0"/>
        <w:spacing w:after="0" w:line="276" w:lineRule="auto"/>
        <w:ind w:left="1416"/>
        <w:jc w:val="both"/>
        <w:rPr>
          <w:rFonts w:ascii="Arial" w:eastAsia="Calibri" w:hAnsi="Arial" w:cs="Arial"/>
          <w:kern w:val="0"/>
          <w14:ligatures w14:val="none"/>
        </w:rPr>
      </w:pPr>
      <w:r w:rsidRPr="002B7D9E">
        <w:rPr>
          <w:rFonts w:ascii="Arial" w:eastAsia="Calibri" w:hAnsi="Arial" w:cs="Arial"/>
          <w:kern w:val="0"/>
          <w14:ligatures w14:val="none"/>
        </w:rPr>
        <w:t>Ponadto producent potwierdza warunki gwarancji oraz warunki obsługi serwisowej określone w załączniku technicznym.</w:t>
      </w:r>
    </w:p>
    <w:p w14:paraId="1C457C54" w14:textId="77777777" w:rsidR="002B7D9E" w:rsidRPr="00B95F79" w:rsidRDefault="002B7D9E" w:rsidP="00292F2C">
      <w:pPr>
        <w:pStyle w:val="Akapitzlist"/>
        <w:autoSpaceDE w:val="0"/>
        <w:autoSpaceDN w:val="0"/>
        <w:adjustRightInd w:val="0"/>
        <w:spacing w:after="0" w:line="276" w:lineRule="auto"/>
        <w:ind w:left="1794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07AE677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7670B041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53799627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6EBDB6CD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43823E68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161E7BE8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29C73E0C" w14:textId="77777777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31A5D1EB" w14:textId="2A841FDD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  <w:r w:rsidRPr="00B95F79">
        <w:rPr>
          <w:rFonts w:ascii="Arial" w:eastAsia="Calibri" w:hAnsi="Arial" w:cs="Arial"/>
          <w:b/>
          <w:bCs/>
          <w:kern w:val="0"/>
          <w:u w:val="single"/>
          <w14:ligatures w14:val="none"/>
        </w:rPr>
        <w:t xml:space="preserve">Załącznik techniczny nr 2 </w:t>
      </w:r>
    </w:p>
    <w:p w14:paraId="4382BABC" w14:textId="77777777" w:rsidR="00B95F79" w:rsidRP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:u w:val="single"/>
          <w14:ligatures w14:val="none"/>
        </w:rPr>
      </w:pPr>
    </w:p>
    <w:p w14:paraId="7E39BFA7" w14:textId="71A522EB" w:rsid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B95F79">
        <w:rPr>
          <w:rFonts w:ascii="Arial" w:eastAsia="Calibri" w:hAnsi="Arial" w:cs="Arial"/>
          <w:b/>
          <w:bCs/>
          <w:kern w:val="0"/>
          <w14:ligatures w14:val="none"/>
        </w:rPr>
        <w:t xml:space="preserve">Gwarancja </w:t>
      </w:r>
      <w:r w:rsidR="0078615F">
        <w:rPr>
          <w:rFonts w:ascii="Arial" w:eastAsia="Calibri" w:hAnsi="Arial" w:cs="Arial"/>
          <w:b/>
          <w:bCs/>
          <w:kern w:val="0"/>
          <w14:ligatures w14:val="none"/>
        </w:rPr>
        <w:t>P</w:t>
      </w:r>
      <w:r w:rsidRPr="00B95F79">
        <w:rPr>
          <w:rFonts w:ascii="Arial" w:eastAsia="Calibri" w:hAnsi="Arial" w:cs="Arial"/>
          <w:b/>
          <w:bCs/>
          <w:kern w:val="0"/>
          <w14:ligatures w14:val="none"/>
        </w:rPr>
        <w:t xml:space="preserve">roducenta </w:t>
      </w:r>
      <w:r w:rsidR="0078615F">
        <w:rPr>
          <w:rFonts w:ascii="Arial" w:eastAsia="Calibri" w:hAnsi="Arial" w:cs="Arial"/>
          <w:b/>
          <w:bCs/>
          <w:kern w:val="0"/>
          <w14:ligatures w14:val="none"/>
        </w:rPr>
        <w:t xml:space="preserve">/ Dystrybutora </w:t>
      </w:r>
      <w:r w:rsidRPr="00B95F79">
        <w:rPr>
          <w:rFonts w:ascii="Arial" w:eastAsia="Calibri" w:hAnsi="Arial" w:cs="Arial"/>
          <w:b/>
          <w:bCs/>
          <w:kern w:val="0"/>
          <w14:ligatures w14:val="none"/>
        </w:rPr>
        <w:t>magazyny energii</w:t>
      </w:r>
      <w:r w:rsidR="00EC7FD5">
        <w:rPr>
          <w:rFonts w:ascii="Arial" w:eastAsia="Calibri" w:hAnsi="Arial" w:cs="Arial"/>
          <w:b/>
          <w:bCs/>
          <w:kern w:val="0"/>
          <w14:ligatures w14:val="none"/>
        </w:rPr>
        <w:t>, inwerterów</w:t>
      </w:r>
    </w:p>
    <w:p w14:paraId="5B464336" w14:textId="77777777" w:rsidR="00B95F79" w:rsidRPr="00B95F79" w:rsidRDefault="00B95F79" w:rsidP="00B95F79">
      <w:pPr>
        <w:autoSpaceDE w:val="0"/>
        <w:autoSpaceDN w:val="0"/>
        <w:adjustRightInd w:val="0"/>
        <w:spacing w:after="0" w:line="276" w:lineRule="auto"/>
        <w:ind w:left="1074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1F6873F" w14:textId="77777777" w:rsidR="0078615F" w:rsidRDefault="0078615F" w:rsidP="0078615F"/>
    <w:p w14:paraId="49AF6B01" w14:textId="77777777" w:rsidR="0078615F" w:rsidRPr="001234E2" w:rsidRDefault="0078615F" w:rsidP="0078615F">
      <w:pPr>
        <w:pStyle w:val="Akapitzlist"/>
        <w:numPr>
          <w:ilvl w:val="0"/>
          <w:numId w:val="22"/>
        </w:numPr>
        <w:rPr>
          <w:b/>
          <w:bCs/>
        </w:rPr>
      </w:pPr>
      <w:r w:rsidRPr="001234E2">
        <w:rPr>
          <w:b/>
          <w:bCs/>
        </w:rPr>
        <w:t>Gwarancja dotycząca magazynów energii</w:t>
      </w:r>
    </w:p>
    <w:p w14:paraId="69A8ED83" w14:textId="77777777" w:rsidR="0078615F" w:rsidRDefault="0078615F" w:rsidP="0078615F">
      <w:pPr>
        <w:pStyle w:val="Akapitzlist"/>
        <w:numPr>
          <w:ilvl w:val="0"/>
          <w:numId w:val="21"/>
        </w:numPr>
        <w:spacing w:line="278" w:lineRule="auto"/>
        <w:ind w:left="1068"/>
      </w:pPr>
      <w:r>
        <w:t>Producent / Dystrybutor potwierdza 5-letnia gwarancja na dostarczone urządzenia od dnia odbioru końcowego</w:t>
      </w:r>
    </w:p>
    <w:p w14:paraId="4A8A31D1" w14:textId="3A43D4B6" w:rsidR="0078615F" w:rsidRDefault="0078615F" w:rsidP="0078615F">
      <w:pPr>
        <w:pStyle w:val="Akapitzlist"/>
        <w:numPr>
          <w:ilvl w:val="0"/>
          <w:numId w:val="21"/>
        </w:numPr>
        <w:spacing w:line="278" w:lineRule="auto"/>
        <w:ind w:left="1068"/>
      </w:pPr>
      <w:r>
        <w:t xml:space="preserve">Producent / Dystrybutor potwierdza, że w okresie gwarancji </w:t>
      </w:r>
      <w:r>
        <w:t xml:space="preserve">będzie jeden </w:t>
      </w:r>
      <w:r>
        <w:t>przegląd przeprowadz</w:t>
      </w:r>
      <w:r>
        <w:t>ony</w:t>
      </w:r>
      <w:r>
        <w:t xml:space="preserve"> przez serwis Producenta / Dystrybutora.</w:t>
      </w:r>
    </w:p>
    <w:p w14:paraId="32A60E58" w14:textId="77777777" w:rsidR="0078615F" w:rsidRDefault="0078615F" w:rsidP="0078615F">
      <w:pPr>
        <w:pStyle w:val="Akapitzlist"/>
        <w:numPr>
          <w:ilvl w:val="0"/>
          <w:numId w:val="21"/>
        </w:numPr>
        <w:spacing w:line="278" w:lineRule="auto"/>
        <w:ind w:left="1068"/>
      </w:pPr>
      <w:r>
        <w:t>5-letnia gwarancja wydajności: gwarantuje, że przez (5) lat system baterii zachowa co najmniej 70% energii użytkowej od daty rozpoczęcia gwarancji lub osiągnie minimalną przepustowość energii, w zależności od tego, co nastąpi wcześniej.</w:t>
      </w:r>
    </w:p>
    <w:p w14:paraId="278123A2" w14:textId="77777777" w:rsidR="0078615F" w:rsidRDefault="0078615F" w:rsidP="0078615F">
      <w:pPr>
        <w:pStyle w:val="Akapitzlist"/>
        <w:numPr>
          <w:ilvl w:val="0"/>
          <w:numId w:val="21"/>
        </w:numPr>
        <w:spacing w:line="278" w:lineRule="auto"/>
        <w:ind w:left="1068"/>
      </w:pPr>
      <w:r>
        <w:t xml:space="preserve">Zgłoszenie serwisowe zostanie rozwiązana przez serwis Producenta / Dystrybutora poprzez zmianę konfiguracji lub aktualizację oprogramowania, naprawę systemu bateryjnego poprzez wymianę części zamiennych, ostatecznie wymianę systemu bateryjnego na system nowy lub odnowiony, który będzie co najmniej funkcjonalnie równoważny z oryginalnym systemem bateryjnym, lub na model ulepszony, który będzie funkcjonalnie równoważny lub funkcjonalnie lepszy od oryginalnego systemu bateryjnego.  </w:t>
      </w:r>
    </w:p>
    <w:p w14:paraId="781E22A7" w14:textId="731B4384" w:rsidR="0078615F" w:rsidRDefault="0078615F" w:rsidP="0078615F">
      <w:pPr>
        <w:ind w:left="348"/>
      </w:pPr>
      <w:r>
        <w:tab/>
        <w:t xml:space="preserve">Jeśli zgłoszenie serwisowe powstałe w wyniku zdążenia losowego lub działania </w:t>
      </w:r>
      <w:r>
        <w:tab/>
        <w:t xml:space="preserve">czynników zewnętrznych, które nie powstały skutek wady produktu bądź montażu a </w:t>
      </w:r>
      <w:r>
        <w:tab/>
        <w:t xml:space="preserve">gwarancja ostatecznie nie zostanie uznane, producent może obciążyć kosztami </w:t>
      </w:r>
      <w:r>
        <w:tab/>
        <w:t xml:space="preserve">użytkownika. </w:t>
      </w:r>
    </w:p>
    <w:p w14:paraId="63966849" w14:textId="4D5A9465" w:rsidR="00EC7FD5" w:rsidRPr="00500A4C" w:rsidRDefault="00EC7FD5" w:rsidP="00EC7FD5">
      <w:pPr>
        <w:ind w:left="708"/>
      </w:pPr>
      <w:r w:rsidRPr="00500A4C">
        <w:rPr>
          <w:b/>
          <w:bCs/>
        </w:rPr>
        <w:t xml:space="preserve">II. </w:t>
      </w:r>
      <w:r w:rsidRPr="00500A4C">
        <w:rPr>
          <w:b/>
          <w:bCs/>
        </w:rPr>
        <w:tab/>
        <w:t xml:space="preserve">Gwarancja </w:t>
      </w:r>
      <w:r>
        <w:rPr>
          <w:b/>
          <w:bCs/>
        </w:rPr>
        <w:t>instalacje PV ( Inwertery)</w:t>
      </w:r>
    </w:p>
    <w:p w14:paraId="1C2B9582" w14:textId="77777777" w:rsidR="00EC7FD5" w:rsidRPr="00500A4C" w:rsidRDefault="00EC7FD5" w:rsidP="00EC7FD5">
      <w:pPr>
        <w:pStyle w:val="Akapitzlist"/>
        <w:numPr>
          <w:ilvl w:val="0"/>
          <w:numId w:val="23"/>
        </w:numPr>
      </w:pPr>
      <w:r>
        <w:t>Producent/ Dystrybutor potwierdza o</w:t>
      </w:r>
      <w:r w:rsidRPr="00500A4C">
        <w:t xml:space="preserve">kres gwarancji 5 lat od odbioru końcowego  </w:t>
      </w:r>
    </w:p>
    <w:p w14:paraId="3549C284" w14:textId="50F3C5DD" w:rsidR="00EC7FD5" w:rsidRDefault="00EC7FD5" w:rsidP="00EC7FD5">
      <w:pPr>
        <w:pStyle w:val="Akapitzlist"/>
        <w:numPr>
          <w:ilvl w:val="0"/>
          <w:numId w:val="23"/>
        </w:numPr>
      </w:pPr>
      <w:r>
        <w:t>Producent potwierdza, że w</w:t>
      </w:r>
      <w:r w:rsidRPr="00500A4C">
        <w:t xml:space="preserve">szystkie instalacje PV w okresie gwarancji </w:t>
      </w:r>
      <w:r>
        <w:t xml:space="preserve">będą </w:t>
      </w:r>
      <w:r w:rsidRPr="00500A4C">
        <w:t>mieć wykonan</w:t>
      </w:r>
      <w:r>
        <w:t>y jeden</w:t>
      </w:r>
      <w:r w:rsidRPr="00500A4C">
        <w:t xml:space="preserve"> przegląd przez serwis </w:t>
      </w:r>
      <w:r>
        <w:t>P</w:t>
      </w:r>
      <w:r w:rsidRPr="00500A4C">
        <w:t>roducenta</w:t>
      </w:r>
      <w:r>
        <w:t xml:space="preserve"> / Dystrybutora </w:t>
      </w:r>
    </w:p>
    <w:p w14:paraId="69B81FE9" w14:textId="77777777" w:rsidR="00EC7FD5" w:rsidRDefault="00EC7FD5" w:rsidP="00EC7FD5">
      <w:pPr>
        <w:pStyle w:val="Akapitzlist"/>
        <w:numPr>
          <w:ilvl w:val="0"/>
          <w:numId w:val="23"/>
        </w:numPr>
      </w:pPr>
      <w:r>
        <w:t xml:space="preserve">W przypadku zgłoszenia reklamacyjnego w okresie gwarancji dopuszcza się, aby wada produkcyjna lub materiałowa została usunięta poprzez: </w:t>
      </w:r>
    </w:p>
    <w:p w14:paraId="57AD254E" w14:textId="77777777" w:rsidR="00EC7FD5" w:rsidRDefault="00EC7FD5" w:rsidP="00EC7FD5">
      <w:pPr>
        <w:pStyle w:val="Akapitzlist"/>
        <w:numPr>
          <w:ilvl w:val="0"/>
          <w:numId w:val="25"/>
        </w:numPr>
      </w:pPr>
      <w:r>
        <w:tab/>
        <w:t xml:space="preserve">rozwiązanie problemu przez zmiany w konfiguracji lub aktualizację </w:t>
      </w:r>
      <w:r>
        <w:tab/>
        <w:t>oprogramowania</w:t>
      </w:r>
    </w:p>
    <w:p w14:paraId="287CFE40" w14:textId="77777777" w:rsidR="00EC7FD5" w:rsidRDefault="00EC7FD5" w:rsidP="00EC7FD5">
      <w:pPr>
        <w:pStyle w:val="Akapitzlist"/>
        <w:numPr>
          <w:ilvl w:val="0"/>
          <w:numId w:val="25"/>
        </w:numPr>
      </w:pPr>
      <w:r>
        <w:tab/>
        <w:t>naprawę produktu za pomocą części zamiennych;</w:t>
      </w:r>
    </w:p>
    <w:p w14:paraId="5E3299B7" w14:textId="77777777" w:rsidR="00EC7FD5" w:rsidRDefault="00EC7FD5" w:rsidP="00EC7FD5">
      <w:pPr>
        <w:pStyle w:val="Akapitzlist"/>
        <w:numPr>
          <w:ilvl w:val="0"/>
          <w:numId w:val="25"/>
        </w:numPr>
      </w:pPr>
      <w:r>
        <w:tab/>
        <w:t xml:space="preserve">wymianę na produkt całkowicie nowy lub odnowiony, pod względem działania co </w:t>
      </w:r>
      <w:r>
        <w:tab/>
        <w:t xml:space="preserve">najmniej równoważny z pierwotnym produktem, lub na jego nowszy model o co </w:t>
      </w:r>
      <w:r>
        <w:tab/>
        <w:t xml:space="preserve">najmniej równoważnym lub ulepszonym działaniu w stosunku do pierwotnego </w:t>
      </w:r>
      <w:r>
        <w:tab/>
        <w:t xml:space="preserve">produktu. Jeżeli w okresie gwarancji urządzenie zostanie wymienione na nowe, </w:t>
      </w:r>
      <w:r>
        <w:tab/>
        <w:t xml:space="preserve">pozostały okres gwarancji zostanie automatycznie przeniesiony na urządzenie </w:t>
      </w:r>
      <w:r>
        <w:tab/>
        <w:t xml:space="preserve">zastępcze, lecz nie będzie to miało wpływu na zmianę długości </w:t>
      </w:r>
      <w:r>
        <w:tab/>
        <w:t xml:space="preserve">standardowej gwarancji liczonej 60 miesięcy od daty odbioru końcowego. </w:t>
      </w:r>
    </w:p>
    <w:p w14:paraId="563FF1B9" w14:textId="77777777" w:rsidR="00EC7FD5" w:rsidRDefault="00EC7FD5" w:rsidP="00EC7FD5">
      <w:r>
        <w:tab/>
      </w:r>
    </w:p>
    <w:p w14:paraId="6E2923CA" w14:textId="77777777" w:rsidR="00EC7FD5" w:rsidRDefault="00EC7FD5" w:rsidP="00EC7FD5">
      <w:pPr>
        <w:ind w:left="708"/>
      </w:pPr>
      <w:r>
        <w:lastRenderedPageBreak/>
        <w:t xml:space="preserve">Wady spowodowane czynnikami niemożliwymi do przewidzenia, czynnikami wynikającymi z działania: </w:t>
      </w:r>
    </w:p>
    <w:p w14:paraId="3B4EF791" w14:textId="77777777" w:rsidR="00EC7FD5" w:rsidRDefault="00EC7FD5" w:rsidP="00EC7FD5">
      <w:pPr>
        <w:pStyle w:val="Akapitzlist"/>
        <w:numPr>
          <w:ilvl w:val="0"/>
          <w:numId w:val="24"/>
        </w:numPr>
      </w:pPr>
      <w:r>
        <w:t xml:space="preserve">człowieka lub działaniem siły wyższej, w tym między innymi burzą, powodzią, przepięciem, </w:t>
      </w:r>
    </w:p>
    <w:p w14:paraId="5F7C40D4" w14:textId="77777777" w:rsidR="00EC7FD5" w:rsidRDefault="00EC7FD5" w:rsidP="00EC7FD5">
      <w:pPr>
        <w:pStyle w:val="Akapitzlist"/>
        <w:numPr>
          <w:ilvl w:val="0"/>
          <w:numId w:val="24"/>
        </w:numPr>
      </w:pPr>
      <w:r>
        <w:t xml:space="preserve">obecnością szkodników, </w:t>
      </w:r>
    </w:p>
    <w:p w14:paraId="3CCFE5F9" w14:textId="77777777" w:rsidR="00EC7FD5" w:rsidRDefault="00EC7FD5" w:rsidP="00EC7FD5">
      <w:pPr>
        <w:pStyle w:val="Akapitzlist"/>
        <w:numPr>
          <w:ilvl w:val="0"/>
          <w:numId w:val="24"/>
        </w:numPr>
      </w:pPr>
      <w:r>
        <w:t xml:space="preserve">niewłaściwą obsługą, </w:t>
      </w:r>
    </w:p>
    <w:p w14:paraId="0EB65CF3" w14:textId="77777777" w:rsidR="00EC7FD5" w:rsidRDefault="00EC7FD5" w:rsidP="00EC7FD5">
      <w:pPr>
        <w:pStyle w:val="Akapitzlist"/>
        <w:numPr>
          <w:ilvl w:val="0"/>
          <w:numId w:val="24"/>
        </w:numPr>
      </w:pPr>
      <w:r>
        <w:t xml:space="preserve">użytkowaniem niezgodnym z przeznaczeniem, zaniedbaniem, </w:t>
      </w:r>
    </w:p>
    <w:p w14:paraId="05188171" w14:textId="77777777" w:rsidR="00EC7FD5" w:rsidRDefault="00EC7FD5" w:rsidP="00EC7FD5">
      <w:pPr>
        <w:pStyle w:val="Akapitzlist"/>
        <w:numPr>
          <w:ilvl w:val="0"/>
          <w:numId w:val="24"/>
        </w:numPr>
      </w:pPr>
      <w:r>
        <w:t xml:space="preserve">pożarem, zalaniem, wyładowaniami atmosferycznymi lub innymi klęskami żywiołowymi. </w:t>
      </w:r>
    </w:p>
    <w:p w14:paraId="182A7125" w14:textId="77777777" w:rsidR="00EC7FD5" w:rsidRDefault="00EC7FD5" w:rsidP="00EC7FD5">
      <w:r>
        <w:tab/>
        <w:t xml:space="preserve">nie będą stanowiły podstawy do roszczeń gwarancyjnych. </w:t>
      </w:r>
    </w:p>
    <w:p w14:paraId="2F43488C" w14:textId="77777777" w:rsidR="00EC7FD5" w:rsidRDefault="00EC7FD5" w:rsidP="00EC7FD5">
      <w:r>
        <w:tab/>
      </w:r>
    </w:p>
    <w:p w14:paraId="4342EDDD" w14:textId="77777777" w:rsidR="00EC7FD5" w:rsidRDefault="00EC7FD5" w:rsidP="00EC7FD5">
      <w:pPr>
        <w:ind w:left="708"/>
      </w:pPr>
      <w:r>
        <w:t xml:space="preserve">W celu uniknięcia wykluczeń gwarancyjnych powstałych na skutek ewentualnej współpracy falownika z magazynem energii lub problemy powstałe na styku instalacji magazynowania energii i instalacji fotowoltaicznej wymaga się, aby w przypadku pracy instalacji PV z magazynem energii inwerter i magazyn były tego samego producenta, a montaż został przeprowadzony zgodnie z wytycznymi i pod nadzorem producenta. </w:t>
      </w:r>
    </w:p>
    <w:p w14:paraId="79AC0A4D" w14:textId="77777777" w:rsidR="00EC7FD5" w:rsidRDefault="00EC7FD5" w:rsidP="00EC7FD5">
      <w:pPr>
        <w:ind w:left="708"/>
      </w:pPr>
      <w:r w:rsidRPr="00D84675">
        <w:t xml:space="preserve">W celu naprawienia ewentualnych luk w zabezpieczeniach oprogramowania sprzętowego i wyeliminowania potencjalnych zagrożeń </w:t>
      </w:r>
      <w:r>
        <w:t>P</w:t>
      </w:r>
      <w:r w:rsidRPr="00D84675">
        <w:t>roducent</w:t>
      </w:r>
      <w:r>
        <w:t>,</w:t>
      </w:r>
      <w:r w:rsidRPr="00D84675">
        <w:t xml:space="preserve"> </w:t>
      </w:r>
      <w:r>
        <w:t>będzie</w:t>
      </w:r>
      <w:r w:rsidRPr="00D84675">
        <w:t xml:space="preserve"> świadczyć usługi zdalnych aktualizacji oprogramowania sprzętowego w celu poprawy wydajności zainstalowanych produktów.  Warunkiem koniecznym do realizacji zadań w tym zakresie jest zapewnienie stabilnego Internetu doprowadzonego do miejsca instalacji inwertera (po stronie użytkownika)</w:t>
      </w:r>
      <w:r>
        <w:t>.</w:t>
      </w:r>
    </w:p>
    <w:p w14:paraId="58143610" w14:textId="77777777" w:rsidR="00EC7FD5" w:rsidRDefault="00EC7FD5" w:rsidP="00EC7FD5">
      <w:pPr>
        <w:ind w:left="708"/>
      </w:pPr>
      <w:r>
        <w:t xml:space="preserve">Po przeprowadzeniu oficjalnego uruchomienia połączonego z odbiorami końcowymi wszelkie zgłoszenia gwarancyjne dotyczące korekty nastaw inwertera albo interwencje wymagane przez lokalnego dostawcę energii mogą się wiązać przeniesieniem kosztów takiej interwencji na użytkownika.  </w:t>
      </w:r>
    </w:p>
    <w:p w14:paraId="1A6AFB07" w14:textId="77777777" w:rsidR="00EC7FD5" w:rsidRDefault="00EC7FD5" w:rsidP="00EC7FD5">
      <w:r>
        <w:tab/>
        <w:t xml:space="preserve">Ograniczenia zobowiązania wynikające z wiążącej użytkownika umowy z dostawcą </w:t>
      </w:r>
      <w:r>
        <w:tab/>
        <w:t xml:space="preserve">energii albo nieprawidłowości, rozbieżności formalne dotyczące użytkownika będącego </w:t>
      </w:r>
      <w:r>
        <w:tab/>
        <w:t xml:space="preserve">uczestnikiem projektu, własności budynku, podmiotu posiadającego aktywną umowę z </w:t>
      </w:r>
      <w:r>
        <w:tab/>
        <w:t xml:space="preserve">zakładem energetycznym nie dotyczą Wykonawcy jak i Producenta, i nie będą miały </w:t>
      </w:r>
      <w:r>
        <w:tab/>
        <w:t xml:space="preserve">wpływu na termin odbioru końcowego.  </w:t>
      </w:r>
    </w:p>
    <w:p w14:paraId="152CEEA6" w14:textId="41998A87" w:rsidR="00EC7FD5" w:rsidRDefault="00EC7FD5" w:rsidP="00EC7FD5">
      <w:pPr>
        <w:ind w:left="708"/>
      </w:pPr>
      <w:r>
        <w:tab/>
        <w:t xml:space="preserve"> Producent / Dystrybutor potwierdza wskazane warunki gwarancji na dostarczone urządzenia (inwertery, Magazyny energii) i wniesienie zabezpieczenia w wysokości 3% wartości dostawy należytego wykonania warunków gwarancji bankowych.</w:t>
      </w:r>
    </w:p>
    <w:p w14:paraId="382A3FF0" w14:textId="4ADE2BBC" w:rsidR="00EC7FD5" w:rsidRDefault="00EC7FD5" w:rsidP="00EC7FD5">
      <w:pPr>
        <w:ind w:left="708"/>
      </w:pPr>
      <w:r>
        <w:t xml:space="preserve">Gwarancja ma zostać wniesiona przez Producenta / Dystrybutora najpóźniej w dniu podpisania umowy, przed jej podpisaniem. </w:t>
      </w:r>
    </w:p>
    <w:p w14:paraId="47E39A1A" w14:textId="77777777" w:rsidR="00EC7FD5" w:rsidRDefault="00EC7FD5" w:rsidP="00EC7FD5">
      <w:pPr>
        <w:ind w:left="708"/>
      </w:pPr>
      <w:r>
        <w:t>Potwierdzenie Producenta / Dystrybutora</w:t>
      </w:r>
    </w:p>
    <w:p w14:paraId="019BAEF7" w14:textId="77777777" w:rsidR="00EC7FD5" w:rsidRDefault="00EC7FD5" w:rsidP="00EC7FD5">
      <w:pPr>
        <w:ind w:left="708"/>
      </w:pPr>
    </w:p>
    <w:p w14:paraId="25A60F35" w14:textId="77777777" w:rsidR="00EC7FD5" w:rsidRDefault="00EC7FD5" w:rsidP="00EC7FD5">
      <w:pPr>
        <w:ind w:left="708"/>
      </w:pPr>
      <w:r>
        <w:t>…………………………………..</w:t>
      </w:r>
    </w:p>
    <w:p w14:paraId="6EA22211" w14:textId="77777777" w:rsidR="00EC7FD5" w:rsidRDefault="00EC7FD5" w:rsidP="00EC7FD5">
      <w:pPr>
        <w:ind w:left="1416"/>
      </w:pPr>
      <w:r>
        <w:tab/>
      </w:r>
    </w:p>
    <w:p w14:paraId="5D01E0C2" w14:textId="77777777" w:rsidR="00EC7FD5" w:rsidRDefault="00EC7FD5" w:rsidP="00EC7FD5">
      <w:pPr>
        <w:ind w:left="1416"/>
      </w:pPr>
    </w:p>
    <w:p w14:paraId="2C18529C" w14:textId="77777777" w:rsidR="00EC7FD5" w:rsidRDefault="00EC7FD5" w:rsidP="00EC7FD5">
      <w:pPr>
        <w:ind w:left="1416"/>
      </w:pPr>
    </w:p>
    <w:p w14:paraId="3C26063C" w14:textId="77777777" w:rsidR="00EC7FD5" w:rsidRDefault="00EC7FD5" w:rsidP="00EC7FD5">
      <w:pPr>
        <w:ind w:left="708"/>
      </w:pPr>
    </w:p>
    <w:p w14:paraId="03788432" w14:textId="77777777" w:rsidR="0013115E" w:rsidRDefault="0013115E" w:rsidP="00A23F64"/>
    <w:sectPr w:rsidR="001311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E10B0"/>
    <w:multiLevelType w:val="hybridMultilevel"/>
    <w:tmpl w:val="CEBA70C8"/>
    <w:lvl w:ilvl="0" w:tplc="04150003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" w15:restartNumberingAfterBreak="0">
    <w:nsid w:val="110A4E45"/>
    <w:multiLevelType w:val="hybridMultilevel"/>
    <w:tmpl w:val="F6B40C6E"/>
    <w:lvl w:ilvl="0" w:tplc="0415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1A2707E3"/>
    <w:multiLevelType w:val="hybridMultilevel"/>
    <w:tmpl w:val="B4D61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32F3A"/>
    <w:multiLevelType w:val="hybridMultilevel"/>
    <w:tmpl w:val="81A29F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2A55D7"/>
    <w:multiLevelType w:val="hybridMultilevel"/>
    <w:tmpl w:val="43429338"/>
    <w:lvl w:ilvl="0" w:tplc="80909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7A4C2B"/>
    <w:multiLevelType w:val="hybridMultilevel"/>
    <w:tmpl w:val="EF5C1E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64009"/>
    <w:multiLevelType w:val="hybridMultilevel"/>
    <w:tmpl w:val="929022C4"/>
    <w:lvl w:ilvl="0" w:tplc="0415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4" w:hanging="360"/>
      </w:pPr>
      <w:rPr>
        <w:rFonts w:ascii="Wingdings" w:hAnsi="Wingdings" w:hint="default"/>
      </w:rPr>
    </w:lvl>
  </w:abstractNum>
  <w:abstractNum w:abstractNumId="7" w15:restartNumberingAfterBreak="0">
    <w:nsid w:val="20D00001"/>
    <w:multiLevelType w:val="hybridMultilevel"/>
    <w:tmpl w:val="8B6C1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C6D6E"/>
    <w:multiLevelType w:val="hybridMultilevel"/>
    <w:tmpl w:val="5A5859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37C19"/>
    <w:multiLevelType w:val="hybridMultilevel"/>
    <w:tmpl w:val="00A4DAA2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0" w15:restartNumberingAfterBreak="0">
    <w:nsid w:val="2B7F5118"/>
    <w:multiLevelType w:val="hybridMultilevel"/>
    <w:tmpl w:val="2640C756"/>
    <w:lvl w:ilvl="0" w:tplc="71AC47D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 w:val="0"/>
        <w:strike w:val="0"/>
      </w:rPr>
    </w:lvl>
    <w:lvl w:ilvl="1" w:tplc="C540CDE8">
      <w:start w:val="1"/>
      <w:numFmt w:val="decimal"/>
      <w:lvlText w:val="%2)"/>
      <w:lvlJc w:val="left"/>
      <w:pPr>
        <w:ind w:left="1070" w:hanging="360"/>
      </w:pPr>
      <w:rPr>
        <w:strike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A104AD40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C53AB"/>
    <w:multiLevelType w:val="hybridMultilevel"/>
    <w:tmpl w:val="9740FC5C"/>
    <w:lvl w:ilvl="0" w:tplc="76C4AFE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854296A"/>
    <w:multiLevelType w:val="hybridMultilevel"/>
    <w:tmpl w:val="4B184FEC"/>
    <w:lvl w:ilvl="0" w:tplc="8D2EC53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38AE2FC1"/>
    <w:multiLevelType w:val="hybridMultilevel"/>
    <w:tmpl w:val="6FFEE40A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4" w15:restartNumberingAfterBreak="0">
    <w:nsid w:val="3FEF69F5"/>
    <w:multiLevelType w:val="hybridMultilevel"/>
    <w:tmpl w:val="333629B4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40776236"/>
    <w:multiLevelType w:val="hybridMultilevel"/>
    <w:tmpl w:val="F4AE7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B1D84"/>
    <w:multiLevelType w:val="hybridMultilevel"/>
    <w:tmpl w:val="16F4FC36"/>
    <w:lvl w:ilvl="0" w:tplc="0415000D">
      <w:start w:val="1"/>
      <w:numFmt w:val="bullet"/>
      <w:lvlText w:val=""/>
      <w:lvlJc w:val="left"/>
      <w:pPr>
        <w:ind w:left="49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25" w:hanging="360"/>
      </w:pPr>
      <w:rPr>
        <w:rFonts w:ascii="Wingdings" w:hAnsi="Wingdings" w:hint="default"/>
      </w:rPr>
    </w:lvl>
  </w:abstractNum>
  <w:abstractNum w:abstractNumId="17" w15:restartNumberingAfterBreak="0">
    <w:nsid w:val="4A684065"/>
    <w:multiLevelType w:val="hybridMultilevel"/>
    <w:tmpl w:val="DD12A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1C0854"/>
    <w:multiLevelType w:val="hybridMultilevel"/>
    <w:tmpl w:val="6BFE4A6E"/>
    <w:lvl w:ilvl="0" w:tplc="0415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19" w15:restartNumberingAfterBreak="0">
    <w:nsid w:val="4FC61D7D"/>
    <w:multiLevelType w:val="hybridMultilevel"/>
    <w:tmpl w:val="DBC24E1E"/>
    <w:lvl w:ilvl="0" w:tplc="C1C2E2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757AA"/>
    <w:multiLevelType w:val="hybridMultilevel"/>
    <w:tmpl w:val="AE9E5966"/>
    <w:lvl w:ilvl="0" w:tplc="C1C2E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4793E"/>
    <w:multiLevelType w:val="hybridMultilevel"/>
    <w:tmpl w:val="0B5C0D90"/>
    <w:lvl w:ilvl="0" w:tplc="041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2" w15:restartNumberingAfterBreak="0">
    <w:nsid w:val="78A46EAC"/>
    <w:multiLevelType w:val="hybridMultilevel"/>
    <w:tmpl w:val="A0123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129B8"/>
    <w:multiLevelType w:val="hybridMultilevel"/>
    <w:tmpl w:val="4E14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9D21AF"/>
    <w:multiLevelType w:val="hybridMultilevel"/>
    <w:tmpl w:val="54CECB58"/>
    <w:lvl w:ilvl="0" w:tplc="0415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 w16cid:durableId="108593464">
    <w:abstractNumId w:val="23"/>
  </w:num>
  <w:num w:numId="2" w16cid:durableId="1169175859">
    <w:abstractNumId w:val="7"/>
  </w:num>
  <w:num w:numId="3" w16cid:durableId="378095647">
    <w:abstractNumId w:val="3"/>
  </w:num>
  <w:num w:numId="4" w16cid:durableId="1549301889">
    <w:abstractNumId w:val="8"/>
  </w:num>
  <w:num w:numId="5" w16cid:durableId="2074355844">
    <w:abstractNumId w:val="15"/>
  </w:num>
  <w:num w:numId="6" w16cid:durableId="700398631">
    <w:abstractNumId w:val="17"/>
  </w:num>
  <w:num w:numId="7" w16cid:durableId="45955847">
    <w:abstractNumId w:val="14"/>
  </w:num>
  <w:num w:numId="8" w16cid:durableId="1198742272">
    <w:abstractNumId w:val="16"/>
  </w:num>
  <w:num w:numId="9" w16cid:durableId="884758295">
    <w:abstractNumId w:val="18"/>
  </w:num>
  <w:num w:numId="10" w16cid:durableId="1601135386">
    <w:abstractNumId w:val="13"/>
  </w:num>
  <w:num w:numId="11" w16cid:durableId="747188486">
    <w:abstractNumId w:val="9"/>
  </w:num>
  <w:num w:numId="12" w16cid:durableId="1961063122">
    <w:abstractNumId w:val="24"/>
  </w:num>
  <w:num w:numId="13" w16cid:durableId="507673842">
    <w:abstractNumId w:val="22"/>
  </w:num>
  <w:num w:numId="14" w16cid:durableId="1174223190">
    <w:abstractNumId w:val="10"/>
  </w:num>
  <w:num w:numId="15" w16cid:durableId="1924097697">
    <w:abstractNumId w:val="12"/>
  </w:num>
  <w:num w:numId="16" w16cid:durableId="1564175630">
    <w:abstractNumId w:val="20"/>
  </w:num>
  <w:num w:numId="17" w16cid:durableId="855968286">
    <w:abstractNumId w:val="19"/>
  </w:num>
  <w:num w:numId="18" w16cid:durableId="1738823259">
    <w:abstractNumId w:val="6"/>
  </w:num>
  <w:num w:numId="19" w16cid:durableId="415177879">
    <w:abstractNumId w:val="1"/>
  </w:num>
  <w:num w:numId="20" w16cid:durableId="2097359110">
    <w:abstractNumId w:val="0"/>
  </w:num>
  <w:num w:numId="21" w16cid:durableId="868955047">
    <w:abstractNumId w:val="2"/>
  </w:num>
  <w:num w:numId="22" w16cid:durableId="726299780">
    <w:abstractNumId w:val="11"/>
  </w:num>
  <w:num w:numId="23" w16cid:durableId="1439568648">
    <w:abstractNumId w:val="4"/>
  </w:num>
  <w:num w:numId="24" w16cid:durableId="2117752220">
    <w:abstractNumId w:val="21"/>
  </w:num>
  <w:num w:numId="25" w16cid:durableId="1341935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F64"/>
    <w:rsid w:val="0001134C"/>
    <w:rsid w:val="000137B9"/>
    <w:rsid w:val="00020796"/>
    <w:rsid w:val="00036210"/>
    <w:rsid w:val="00037F68"/>
    <w:rsid w:val="0004002D"/>
    <w:rsid w:val="0004144D"/>
    <w:rsid w:val="00044180"/>
    <w:rsid w:val="0006256C"/>
    <w:rsid w:val="0006777D"/>
    <w:rsid w:val="00071C7A"/>
    <w:rsid w:val="00072240"/>
    <w:rsid w:val="00074B21"/>
    <w:rsid w:val="00076A7F"/>
    <w:rsid w:val="00080A2B"/>
    <w:rsid w:val="00087B93"/>
    <w:rsid w:val="00090478"/>
    <w:rsid w:val="000929A8"/>
    <w:rsid w:val="000A053D"/>
    <w:rsid w:val="000A2E53"/>
    <w:rsid w:val="000D3FF4"/>
    <w:rsid w:val="000E1A02"/>
    <w:rsid w:val="00121BF2"/>
    <w:rsid w:val="00130E91"/>
    <w:rsid w:val="0013115E"/>
    <w:rsid w:val="00147D65"/>
    <w:rsid w:val="00152283"/>
    <w:rsid w:val="00153A92"/>
    <w:rsid w:val="0018098B"/>
    <w:rsid w:val="0018389F"/>
    <w:rsid w:val="00191DFB"/>
    <w:rsid w:val="001A7E3E"/>
    <w:rsid w:val="001B6149"/>
    <w:rsid w:val="001B7480"/>
    <w:rsid w:val="001C07F0"/>
    <w:rsid w:val="001C6645"/>
    <w:rsid w:val="001D6199"/>
    <w:rsid w:val="001E23B3"/>
    <w:rsid w:val="001E51F7"/>
    <w:rsid w:val="001F3441"/>
    <w:rsid w:val="001F6448"/>
    <w:rsid w:val="0020489B"/>
    <w:rsid w:val="002136BA"/>
    <w:rsid w:val="00221756"/>
    <w:rsid w:val="00224E0A"/>
    <w:rsid w:val="00240056"/>
    <w:rsid w:val="00256164"/>
    <w:rsid w:val="0026451E"/>
    <w:rsid w:val="002806A9"/>
    <w:rsid w:val="002842A9"/>
    <w:rsid w:val="00284340"/>
    <w:rsid w:val="00292F2C"/>
    <w:rsid w:val="002B7D9E"/>
    <w:rsid w:val="002C2CC7"/>
    <w:rsid w:val="002D20B3"/>
    <w:rsid w:val="002D3979"/>
    <w:rsid w:val="002D436D"/>
    <w:rsid w:val="002E1254"/>
    <w:rsid w:val="002E2D7C"/>
    <w:rsid w:val="002F2797"/>
    <w:rsid w:val="00305BC6"/>
    <w:rsid w:val="003316CE"/>
    <w:rsid w:val="00343E27"/>
    <w:rsid w:val="00350ABB"/>
    <w:rsid w:val="003846C0"/>
    <w:rsid w:val="003878CE"/>
    <w:rsid w:val="0039005F"/>
    <w:rsid w:val="00394F46"/>
    <w:rsid w:val="003B2DF9"/>
    <w:rsid w:val="003C0A18"/>
    <w:rsid w:val="003C18EC"/>
    <w:rsid w:val="003D51C0"/>
    <w:rsid w:val="003E7512"/>
    <w:rsid w:val="003F486C"/>
    <w:rsid w:val="00413B4D"/>
    <w:rsid w:val="00420ADF"/>
    <w:rsid w:val="0042559F"/>
    <w:rsid w:val="004376DD"/>
    <w:rsid w:val="00440DEA"/>
    <w:rsid w:val="00460FA2"/>
    <w:rsid w:val="00463B14"/>
    <w:rsid w:val="00467225"/>
    <w:rsid w:val="00476406"/>
    <w:rsid w:val="00485683"/>
    <w:rsid w:val="004A47AE"/>
    <w:rsid w:val="004B342F"/>
    <w:rsid w:val="004B348A"/>
    <w:rsid w:val="004D6F1E"/>
    <w:rsid w:val="004E00FA"/>
    <w:rsid w:val="004E76AC"/>
    <w:rsid w:val="004F3A91"/>
    <w:rsid w:val="005053B1"/>
    <w:rsid w:val="0051034A"/>
    <w:rsid w:val="005309B5"/>
    <w:rsid w:val="00533881"/>
    <w:rsid w:val="00543491"/>
    <w:rsid w:val="00571144"/>
    <w:rsid w:val="0058631D"/>
    <w:rsid w:val="00587D5A"/>
    <w:rsid w:val="005A32D5"/>
    <w:rsid w:val="005B1E31"/>
    <w:rsid w:val="005B322A"/>
    <w:rsid w:val="005B7AC2"/>
    <w:rsid w:val="005C547B"/>
    <w:rsid w:val="005E5AD8"/>
    <w:rsid w:val="005E650F"/>
    <w:rsid w:val="006007E2"/>
    <w:rsid w:val="00605552"/>
    <w:rsid w:val="0061538D"/>
    <w:rsid w:val="006220C8"/>
    <w:rsid w:val="00634041"/>
    <w:rsid w:val="0063681B"/>
    <w:rsid w:val="0063794F"/>
    <w:rsid w:val="006417FA"/>
    <w:rsid w:val="00653D8E"/>
    <w:rsid w:val="00664CCE"/>
    <w:rsid w:val="00673BF3"/>
    <w:rsid w:val="00676E7C"/>
    <w:rsid w:val="006B412D"/>
    <w:rsid w:val="006D5CBB"/>
    <w:rsid w:val="006D6E25"/>
    <w:rsid w:val="006E4D55"/>
    <w:rsid w:val="006F19D0"/>
    <w:rsid w:val="006F2AE6"/>
    <w:rsid w:val="00736601"/>
    <w:rsid w:val="00765771"/>
    <w:rsid w:val="00766DB9"/>
    <w:rsid w:val="007768D4"/>
    <w:rsid w:val="0078615F"/>
    <w:rsid w:val="007908A2"/>
    <w:rsid w:val="007968D1"/>
    <w:rsid w:val="007A0CBC"/>
    <w:rsid w:val="007A3214"/>
    <w:rsid w:val="007A7370"/>
    <w:rsid w:val="007B033B"/>
    <w:rsid w:val="007C7EAC"/>
    <w:rsid w:val="007D06B5"/>
    <w:rsid w:val="007D2D72"/>
    <w:rsid w:val="007F2EE5"/>
    <w:rsid w:val="007F5000"/>
    <w:rsid w:val="007F5FCB"/>
    <w:rsid w:val="00805A24"/>
    <w:rsid w:val="00811F7A"/>
    <w:rsid w:val="00821D83"/>
    <w:rsid w:val="008333A8"/>
    <w:rsid w:val="00834572"/>
    <w:rsid w:val="00834BA6"/>
    <w:rsid w:val="00844566"/>
    <w:rsid w:val="00844F98"/>
    <w:rsid w:val="00846CA3"/>
    <w:rsid w:val="0086102D"/>
    <w:rsid w:val="00861E5B"/>
    <w:rsid w:val="00865A1D"/>
    <w:rsid w:val="00881372"/>
    <w:rsid w:val="00885A40"/>
    <w:rsid w:val="0088713C"/>
    <w:rsid w:val="0088758B"/>
    <w:rsid w:val="00896BE1"/>
    <w:rsid w:val="008B42BE"/>
    <w:rsid w:val="008C49CD"/>
    <w:rsid w:val="008D7A6D"/>
    <w:rsid w:val="008F1964"/>
    <w:rsid w:val="00925E96"/>
    <w:rsid w:val="009262BD"/>
    <w:rsid w:val="009338C5"/>
    <w:rsid w:val="0093656D"/>
    <w:rsid w:val="009547D8"/>
    <w:rsid w:val="00967B22"/>
    <w:rsid w:val="00967C95"/>
    <w:rsid w:val="00972241"/>
    <w:rsid w:val="0098111D"/>
    <w:rsid w:val="00982D73"/>
    <w:rsid w:val="00994358"/>
    <w:rsid w:val="00997F63"/>
    <w:rsid w:val="009A5125"/>
    <w:rsid w:val="009B7C51"/>
    <w:rsid w:val="009C5C78"/>
    <w:rsid w:val="009D1A93"/>
    <w:rsid w:val="009D6FA7"/>
    <w:rsid w:val="009E2291"/>
    <w:rsid w:val="009E5654"/>
    <w:rsid w:val="009E67D0"/>
    <w:rsid w:val="00A0219B"/>
    <w:rsid w:val="00A04FF5"/>
    <w:rsid w:val="00A059AD"/>
    <w:rsid w:val="00A11887"/>
    <w:rsid w:val="00A16FEB"/>
    <w:rsid w:val="00A21F0C"/>
    <w:rsid w:val="00A23E59"/>
    <w:rsid w:val="00A23F64"/>
    <w:rsid w:val="00A30B35"/>
    <w:rsid w:val="00A335BD"/>
    <w:rsid w:val="00A44B2B"/>
    <w:rsid w:val="00A63770"/>
    <w:rsid w:val="00A84800"/>
    <w:rsid w:val="00AF6D12"/>
    <w:rsid w:val="00B07732"/>
    <w:rsid w:val="00B2083B"/>
    <w:rsid w:val="00B21B1F"/>
    <w:rsid w:val="00B24790"/>
    <w:rsid w:val="00B47303"/>
    <w:rsid w:val="00B62B61"/>
    <w:rsid w:val="00B92CFD"/>
    <w:rsid w:val="00B95ACD"/>
    <w:rsid w:val="00B95F79"/>
    <w:rsid w:val="00B97DB5"/>
    <w:rsid w:val="00BA0E2E"/>
    <w:rsid w:val="00BA0ED6"/>
    <w:rsid w:val="00BA53F8"/>
    <w:rsid w:val="00BB6071"/>
    <w:rsid w:val="00BD4BF3"/>
    <w:rsid w:val="00BF3705"/>
    <w:rsid w:val="00BF4FF9"/>
    <w:rsid w:val="00BF5626"/>
    <w:rsid w:val="00C0163B"/>
    <w:rsid w:val="00C10441"/>
    <w:rsid w:val="00C159D9"/>
    <w:rsid w:val="00C23087"/>
    <w:rsid w:val="00C41CC9"/>
    <w:rsid w:val="00C50681"/>
    <w:rsid w:val="00C568A8"/>
    <w:rsid w:val="00C61FA0"/>
    <w:rsid w:val="00C63B7D"/>
    <w:rsid w:val="00C6745A"/>
    <w:rsid w:val="00C72032"/>
    <w:rsid w:val="00C8060B"/>
    <w:rsid w:val="00C87013"/>
    <w:rsid w:val="00C923FF"/>
    <w:rsid w:val="00C94A7F"/>
    <w:rsid w:val="00C97A37"/>
    <w:rsid w:val="00CC431C"/>
    <w:rsid w:val="00CC5227"/>
    <w:rsid w:val="00CC7423"/>
    <w:rsid w:val="00CD0DF3"/>
    <w:rsid w:val="00CD7F19"/>
    <w:rsid w:val="00CE3B98"/>
    <w:rsid w:val="00CF0BDA"/>
    <w:rsid w:val="00CF6A5A"/>
    <w:rsid w:val="00CF6FB2"/>
    <w:rsid w:val="00D0589B"/>
    <w:rsid w:val="00D06A1F"/>
    <w:rsid w:val="00D10E20"/>
    <w:rsid w:val="00D10FEC"/>
    <w:rsid w:val="00D147E2"/>
    <w:rsid w:val="00D24E3A"/>
    <w:rsid w:val="00D36790"/>
    <w:rsid w:val="00D469F2"/>
    <w:rsid w:val="00D50764"/>
    <w:rsid w:val="00D515C9"/>
    <w:rsid w:val="00D564C8"/>
    <w:rsid w:val="00D5679F"/>
    <w:rsid w:val="00D62D86"/>
    <w:rsid w:val="00D672C2"/>
    <w:rsid w:val="00D714F7"/>
    <w:rsid w:val="00D85F4E"/>
    <w:rsid w:val="00DA18C6"/>
    <w:rsid w:val="00DA75F7"/>
    <w:rsid w:val="00DB0ADC"/>
    <w:rsid w:val="00DC2146"/>
    <w:rsid w:val="00DC28EC"/>
    <w:rsid w:val="00DC7E34"/>
    <w:rsid w:val="00DD7422"/>
    <w:rsid w:val="00DE3F35"/>
    <w:rsid w:val="00DF4754"/>
    <w:rsid w:val="00DF5D53"/>
    <w:rsid w:val="00E0427A"/>
    <w:rsid w:val="00E12A66"/>
    <w:rsid w:val="00E15BAE"/>
    <w:rsid w:val="00E1738B"/>
    <w:rsid w:val="00E173CA"/>
    <w:rsid w:val="00E31092"/>
    <w:rsid w:val="00E42522"/>
    <w:rsid w:val="00E55CD5"/>
    <w:rsid w:val="00E5622B"/>
    <w:rsid w:val="00EA18E3"/>
    <w:rsid w:val="00EA19FA"/>
    <w:rsid w:val="00EC027A"/>
    <w:rsid w:val="00EC7FD5"/>
    <w:rsid w:val="00EF32AF"/>
    <w:rsid w:val="00F04331"/>
    <w:rsid w:val="00F05680"/>
    <w:rsid w:val="00F1733B"/>
    <w:rsid w:val="00F21701"/>
    <w:rsid w:val="00F30D5A"/>
    <w:rsid w:val="00F3775C"/>
    <w:rsid w:val="00F54EA6"/>
    <w:rsid w:val="00F61E65"/>
    <w:rsid w:val="00F64979"/>
    <w:rsid w:val="00F66C3D"/>
    <w:rsid w:val="00FB3006"/>
    <w:rsid w:val="00FB3225"/>
    <w:rsid w:val="00FC3D06"/>
    <w:rsid w:val="00FD6F32"/>
    <w:rsid w:val="00FE1663"/>
    <w:rsid w:val="00FF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0482"/>
  <w15:chartTrackingRefBased/>
  <w15:docId w15:val="{241797C6-AFC8-4300-AD92-F834276EA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D9E"/>
  </w:style>
  <w:style w:type="paragraph" w:styleId="Nagwek1">
    <w:name w:val="heading 1"/>
    <w:basedOn w:val="Normalny"/>
    <w:next w:val="Normalny"/>
    <w:link w:val="Nagwek1Znak"/>
    <w:uiPriority w:val="9"/>
    <w:qFormat/>
    <w:rsid w:val="00A23F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3F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3F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3F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3F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3F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3F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3F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3F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3F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3F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3F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3F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3F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3F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3F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3F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3F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3F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3F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F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3F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3F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3F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3F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3F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3F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3F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3F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21D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7968D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6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917</Words>
  <Characters>5502</Characters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2025-10-10T14:40:00Z</cp:lastPrinted>
  <dcterms:created xsi:type="dcterms:W3CDTF">2026-03-04T19:30:00Z</dcterms:created>
  <dcterms:modified xsi:type="dcterms:W3CDTF">2026-03-04T20:22:00Z</dcterms:modified>
</cp:coreProperties>
</file>